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BB" w:rsidRPr="00FE21CD" w:rsidRDefault="00A36DBB" w:rsidP="00A36DBB">
      <w:pPr>
        <w:pStyle w:val="NormalWeb"/>
        <w:spacing w:before="0" w:beforeAutospacing="0" w:after="0" w:afterAutospacing="0" w:line="600" w:lineRule="auto"/>
        <w:rPr>
          <w:rFonts w:eastAsiaTheme="minorHAnsi"/>
        </w:rPr>
      </w:pPr>
    </w:p>
    <w:p w:rsidR="00395111" w:rsidRPr="00FE21CD" w:rsidRDefault="00A36DBB" w:rsidP="00A36DBB">
      <w:pPr>
        <w:pStyle w:val="NormalWeb"/>
        <w:spacing w:before="0" w:beforeAutospacing="0" w:after="0" w:afterAutospacing="0" w:line="600" w:lineRule="auto"/>
      </w:pPr>
      <w:r w:rsidRPr="00FE21CD">
        <w:rPr>
          <w:rFonts w:eastAsiaTheme="minorHAnsi"/>
        </w:rPr>
        <w:t xml:space="preserve">                                                    </w:t>
      </w:r>
      <w:r w:rsidR="00395111" w:rsidRPr="00FE21CD">
        <w:t>Trident University International</w:t>
      </w:r>
    </w:p>
    <w:p w:rsidR="00395111" w:rsidRPr="00FE21CD" w:rsidRDefault="00395111" w:rsidP="004E0E37">
      <w:pPr>
        <w:pStyle w:val="NormalWeb"/>
        <w:spacing w:before="0" w:beforeAutospacing="0" w:after="0" w:afterAutospacing="0" w:line="600" w:lineRule="auto"/>
        <w:jc w:val="center"/>
      </w:pPr>
      <w:r w:rsidRPr="00FE21CD">
        <w:t>Student Name</w:t>
      </w:r>
    </w:p>
    <w:p w:rsidR="008A2ED5" w:rsidRPr="00FE21CD" w:rsidRDefault="008A2ED5" w:rsidP="004E0E37">
      <w:pPr>
        <w:pStyle w:val="NormalWeb"/>
        <w:spacing w:before="0" w:beforeAutospacing="0" w:after="0" w:afterAutospacing="0" w:line="600" w:lineRule="auto"/>
        <w:jc w:val="center"/>
      </w:pPr>
      <w:r w:rsidRPr="00FE21CD">
        <w:t>Module</w:t>
      </w:r>
      <w:r w:rsidR="00947F5A" w:rsidRPr="00FE21CD">
        <w:t>3</w:t>
      </w:r>
      <w:r w:rsidR="00B91518" w:rsidRPr="00FE21CD">
        <w:t>Case</w:t>
      </w:r>
    </w:p>
    <w:p w:rsidR="008151A7" w:rsidRPr="00FE21CD" w:rsidRDefault="006125E7" w:rsidP="004E0E37">
      <w:pPr>
        <w:pStyle w:val="NormalWeb"/>
        <w:spacing w:before="0" w:beforeAutospacing="0" w:after="0" w:afterAutospacing="0" w:line="600" w:lineRule="auto"/>
        <w:jc w:val="center"/>
      </w:pPr>
      <w:r w:rsidRPr="00FE21CD">
        <w:t>BUS401 International Business</w:t>
      </w:r>
    </w:p>
    <w:p w:rsidR="00395111" w:rsidRPr="00FE21CD" w:rsidRDefault="00395111" w:rsidP="004E0E37">
      <w:pPr>
        <w:pStyle w:val="NormalWeb"/>
        <w:spacing w:before="0" w:beforeAutospacing="0" w:after="0" w:afterAutospacing="0" w:line="600" w:lineRule="auto"/>
        <w:jc w:val="center"/>
      </w:pPr>
      <w:r w:rsidRPr="00FE21CD">
        <w:t>Professor’s Name</w:t>
      </w:r>
    </w:p>
    <w:p w:rsidR="008A2ED5" w:rsidRPr="00FE21CD" w:rsidRDefault="008A2ED5" w:rsidP="004E0E37">
      <w:pPr>
        <w:pStyle w:val="NormalWeb"/>
        <w:spacing w:before="0" w:beforeAutospacing="0" w:after="0" w:afterAutospacing="0" w:line="600" w:lineRule="auto"/>
        <w:jc w:val="center"/>
      </w:pPr>
      <w:r w:rsidRPr="00FE21CD">
        <w:t>Date of Submission</w:t>
      </w:r>
    </w:p>
    <w:p w:rsidR="002B2199" w:rsidRPr="00FE21CD" w:rsidRDefault="002B2199" w:rsidP="004E0E37">
      <w:pPr>
        <w:spacing w:line="600" w:lineRule="auto"/>
        <w:jc w:val="center"/>
        <w:rPr>
          <w:rFonts w:ascii="Times New Roman" w:hAnsi="Times New Roman" w:cs="Times New Roman"/>
        </w:rPr>
      </w:pPr>
    </w:p>
    <w:p w:rsidR="002B2199" w:rsidRPr="00FE21CD" w:rsidRDefault="002B2199" w:rsidP="004E0E37">
      <w:pPr>
        <w:spacing w:line="600" w:lineRule="auto"/>
        <w:jc w:val="center"/>
        <w:rPr>
          <w:rFonts w:ascii="Times New Roman" w:hAnsi="Times New Roman" w:cs="Times New Roman"/>
        </w:rPr>
      </w:pPr>
    </w:p>
    <w:p w:rsidR="002B2199" w:rsidRPr="00FE21CD" w:rsidRDefault="002B2199" w:rsidP="004E0E37">
      <w:pPr>
        <w:spacing w:line="600" w:lineRule="auto"/>
        <w:jc w:val="center"/>
        <w:rPr>
          <w:rFonts w:ascii="Times New Roman" w:hAnsi="Times New Roman" w:cs="Times New Roman"/>
        </w:rPr>
      </w:pPr>
    </w:p>
    <w:p w:rsidR="002B2199" w:rsidRPr="00FE21CD" w:rsidRDefault="002B2199" w:rsidP="004E0E37">
      <w:pPr>
        <w:spacing w:line="600" w:lineRule="auto"/>
        <w:jc w:val="center"/>
        <w:rPr>
          <w:rFonts w:ascii="Times New Roman" w:hAnsi="Times New Roman" w:cs="Times New Roman"/>
        </w:rPr>
      </w:pPr>
    </w:p>
    <w:p w:rsidR="002B2199" w:rsidRPr="00FE21CD" w:rsidRDefault="002B2199" w:rsidP="004E0E37">
      <w:pPr>
        <w:spacing w:line="600" w:lineRule="auto"/>
        <w:jc w:val="center"/>
        <w:rPr>
          <w:rFonts w:ascii="Times New Roman" w:hAnsi="Times New Roman" w:cs="Times New Roman"/>
        </w:rPr>
      </w:pPr>
    </w:p>
    <w:p w:rsidR="002B2199" w:rsidRPr="00FE21CD" w:rsidRDefault="002B2199" w:rsidP="004E0E37">
      <w:pPr>
        <w:spacing w:line="600" w:lineRule="auto"/>
        <w:jc w:val="center"/>
        <w:rPr>
          <w:rFonts w:ascii="Times New Roman" w:hAnsi="Times New Roman" w:cs="Times New Roman"/>
        </w:rPr>
      </w:pPr>
    </w:p>
    <w:p w:rsidR="008A2ED5" w:rsidRPr="00FE21CD" w:rsidRDefault="008A2ED5" w:rsidP="004E0E37">
      <w:pPr>
        <w:spacing w:line="600" w:lineRule="auto"/>
        <w:rPr>
          <w:rFonts w:ascii="Times New Roman" w:hAnsi="Times New Roman" w:cs="Times New Roman"/>
        </w:rPr>
      </w:pPr>
      <w:r w:rsidRPr="00FE21CD">
        <w:rPr>
          <w:rFonts w:ascii="Times New Roman" w:hAnsi="Times New Roman" w:cs="Times New Roman"/>
        </w:rPr>
        <w:br w:type="page"/>
      </w:r>
    </w:p>
    <w:p w:rsidR="008072F0" w:rsidRPr="00FE21CD" w:rsidRDefault="00CB6589" w:rsidP="004E0E37">
      <w:pPr>
        <w:pStyle w:val="NormalWeb"/>
        <w:spacing w:before="0" w:beforeAutospacing="0" w:after="0" w:afterAutospacing="0" w:line="600" w:lineRule="auto"/>
        <w:rPr>
          <w:color w:val="0E101A"/>
        </w:rPr>
      </w:pPr>
      <w:r w:rsidRPr="00FE21CD">
        <w:rPr>
          <w:color w:val="0E101A"/>
        </w:rPr>
        <w:lastRenderedPageBreak/>
        <w:t xml:space="preserve">                               </w:t>
      </w:r>
      <w:r w:rsidR="008072F0" w:rsidRPr="00FE21CD">
        <w:rPr>
          <w:color w:val="0E101A"/>
        </w:rPr>
        <w:t>International Business Module 3Case</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Global market trends refer to the activity and procedure of buying and selling goods and services across all the countries in the globe. Market trends refer to the tendency of financial markets to change or take certain directions over time. There have been rapid global changes due to new technology, changes in production and consumption, and policy changes. </w:t>
      </w:r>
    </w:p>
    <w:p w:rsidR="008072F0" w:rsidRPr="00FE21CD" w:rsidRDefault="00F7712F" w:rsidP="004E0E37">
      <w:pPr>
        <w:pStyle w:val="NormalWeb"/>
        <w:spacing w:before="0" w:beforeAutospacing="0" w:after="0" w:afterAutospacing="0" w:line="600" w:lineRule="auto"/>
        <w:rPr>
          <w:color w:val="0E101A"/>
        </w:rPr>
      </w:pPr>
      <w:r w:rsidRPr="00FE21CD">
        <w:rPr>
          <w:rStyle w:val="Strong"/>
          <w:color w:val="0E101A"/>
        </w:rPr>
        <w:t xml:space="preserve">                                   </w:t>
      </w:r>
      <w:r w:rsidR="008072F0" w:rsidRPr="00FE21CD">
        <w:rPr>
          <w:rStyle w:val="Strong"/>
          <w:color w:val="0E101A"/>
        </w:rPr>
        <w:t>Global market trend: United States</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Income inequality is a current global market condition trend involving the United States. Income inequality refers to a huge gap between the income received by the richest people and the poor</w:t>
      </w:r>
      <w:r w:rsidR="00D122AD" w:rsidRPr="00D122AD">
        <w:rPr>
          <w:color w:val="222222"/>
          <w:shd w:val="clear" w:color="auto" w:fill="FFFFFF"/>
        </w:rPr>
        <w:t xml:space="preserve"> </w:t>
      </w:r>
      <w:r w:rsidR="00D122AD">
        <w:rPr>
          <w:color w:val="222222"/>
          <w:shd w:val="clear" w:color="auto" w:fill="FFFFFF"/>
        </w:rPr>
        <w:t>(Blecker &amp;</w:t>
      </w:r>
      <w:r w:rsidR="00D122AD" w:rsidRPr="00FE21CD">
        <w:rPr>
          <w:color w:val="222222"/>
          <w:shd w:val="clear" w:color="auto" w:fill="FFFFFF"/>
        </w:rPr>
        <w:t xml:space="preserve"> R. A</w:t>
      </w:r>
      <w:r w:rsidR="00D122AD">
        <w:rPr>
          <w:color w:val="222222"/>
          <w:shd w:val="clear" w:color="auto" w:fill="FFFFFF"/>
        </w:rPr>
        <w:t>, 2016)</w:t>
      </w:r>
      <w:r w:rsidRPr="00FE21CD">
        <w:rPr>
          <w:color w:val="0E101A"/>
        </w:rPr>
        <w:t>. The income includes wages, rent, sales, and investment earnings. Income inequality differs by social factors like gender identity, age, race or ethnicity, and sexual identity resulting in a greater gap.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The top 20% of the US population made 51.9% of the total US income by 2019. The richest, top 5% received 23% of the total income. The lowest 20% earned 3.1% of the total income. From these statistics, a large number of workers in the US earn relatively low wages as compared to workers in the other high-income countries. Incomes and wages have continued to stagnate while the workers struggle to maintain their living standards. The wage gap between white workers and other workers of different colors has also widened.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w:t>
      </w:r>
      <w:r w:rsidR="00B0194B">
        <w:rPr>
          <w:color w:val="0E101A"/>
        </w:rPr>
        <w:t xml:space="preserve">  </w:t>
      </w:r>
      <w:r w:rsidRPr="00FE21CD">
        <w:rPr>
          <w:color w:val="0E101A"/>
        </w:rPr>
        <w:t xml:space="preserve">The wages of those living in the rural areas of the US have also been low compared to those working in the urban areas. Those at the bottom level of income have continued to fall </w:t>
      </w:r>
      <w:r w:rsidRPr="00FE21CD">
        <w:rPr>
          <w:color w:val="0E101A"/>
        </w:rPr>
        <w:lastRenderedPageBreak/>
        <w:t>further behind the top earners. American workers have consistently fallen behind the rest of the members of the Organization for Economic Co-operation and Development (OECD) concerning their income. The wage growth in the United States has also been left behind by the other OECD countries. The United States has been a low-wage nation despite having a record of the longest economic recovery.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The wage gaps between workers of different races and genders have not narrowed after the recent recovery. Black men receive 70% less of the white men’s earnings. This gap has continued to widen over the years. Black women earn 81% of what white women earn. The growth gap between the top and bottom income earners has widened. These gaps have contributed to income inequalities in the economy. The costs of commodities and services have become relatively expensive hence increasing the cost of living.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w:t>
      </w:r>
      <w:r w:rsidR="00804FE5">
        <w:rPr>
          <w:color w:val="0E101A"/>
        </w:rPr>
        <w:t xml:space="preserve">  </w:t>
      </w:r>
      <w:r w:rsidR="00BA37A7">
        <w:rPr>
          <w:color w:val="0E101A"/>
        </w:rPr>
        <w:t xml:space="preserve"> </w:t>
      </w:r>
      <w:r w:rsidRPr="00FE21CD">
        <w:rPr>
          <w:color w:val="0E101A"/>
        </w:rPr>
        <w:t>Cheap labor in China, unfair exchange rates and job outsourcing has been linked with income inequality in the United States. Other causes of income inequality in the US can be associated with an essential shift in the global economy. Countries such as Brazil, India, and China have become more competitive in the global marketplace with a more skilled workforce. Wealth is therefore shifting from the United States and other developed countries to the emerging market countries.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w:t>
      </w:r>
      <w:r w:rsidR="00190CB1">
        <w:rPr>
          <w:color w:val="0E101A"/>
        </w:rPr>
        <w:t xml:space="preserve">  </w:t>
      </w:r>
      <w:r w:rsidRPr="00FE21CD">
        <w:rPr>
          <w:color w:val="0E101A"/>
        </w:rPr>
        <w:t xml:space="preserve">Income inequality can be an important factor in determining the patterns of international trade. Income inequality in the US has affected international trade via imports </w:t>
      </w:r>
      <w:r w:rsidRPr="00FE21CD">
        <w:rPr>
          <w:color w:val="0E101A"/>
        </w:rPr>
        <w:lastRenderedPageBreak/>
        <w:t>and exports. A weaker dollar means more expensive imports and cheaper exports. The high-income inequality in the US has led to the importation of low-value products.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International trade has been linked to the widening gap in the income of the United States. Income inequality has been associated with the increasing importance of international trade especially with developing world nations. Although international trade is not directly linked to income inequality in the United States, it has been an important factor in the growing income inequality for the US. The considerable trade between the United States and the newly developing countries has played part in the worsening of the income. Changes in international trade technologies are also a contributing factor to the increase in income inequality.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w:t>
      </w:r>
      <w:r w:rsidR="00C422A2">
        <w:rPr>
          <w:color w:val="0E101A"/>
        </w:rPr>
        <w:t xml:space="preserve">     </w:t>
      </w:r>
      <w:r w:rsidRPr="00FE21CD">
        <w:rPr>
          <w:color w:val="0E101A"/>
        </w:rPr>
        <w:t>Income inequality has affected the growth and sustainability of the United States in international trade. Income inequality may also result in poor international policies on trade. The US government should the bottom earners with access to education and employment training to reduce the widening income gap.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w:t>
      </w:r>
      <w:r w:rsidR="004E0E37" w:rsidRPr="00FE21CD">
        <w:rPr>
          <w:color w:val="0E101A"/>
        </w:rPr>
        <w:t xml:space="preserve">                                     </w:t>
      </w:r>
      <w:r w:rsidRPr="00FE21CD">
        <w:rPr>
          <w:rStyle w:val="Strong"/>
          <w:color w:val="0E101A"/>
        </w:rPr>
        <w:t>Global market trend: China</w:t>
      </w:r>
    </w:p>
    <w:p w:rsidR="008072F0" w:rsidRPr="00FE21CD" w:rsidRDefault="004E0E37" w:rsidP="004E0E37">
      <w:pPr>
        <w:pStyle w:val="NormalWeb"/>
        <w:spacing w:before="0" w:beforeAutospacing="0" w:after="0" w:afterAutospacing="0" w:line="600" w:lineRule="auto"/>
        <w:rPr>
          <w:color w:val="0E101A"/>
        </w:rPr>
      </w:pPr>
      <w:r w:rsidRPr="00FE21CD">
        <w:rPr>
          <w:color w:val="0E101A"/>
        </w:rPr>
        <w:t xml:space="preserve">            </w:t>
      </w:r>
      <w:r w:rsidR="006E79A5">
        <w:rPr>
          <w:color w:val="0E101A"/>
        </w:rPr>
        <w:t xml:space="preserve">   </w:t>
      </w:r>
      <w:r w:rsidR="008072F0" w:rsidRPr="00FE21CD">
        <w:rPr>
          <w:color w:val="0E101A"/>
        </w:rPr>
        <w:t xml:space="preserve">Economic rise is one of the current global market condition trends in China. China has been one of the fastest-growing economies globally. The average annual gross domestic product of China has been 9.5% since 2018. This growth pace has been described by the World Bank as the fastest sustained expansion by a major economy in history. This growth </w:t>
      </w:r>
      <w:r w:rsidR="008072F0" w:rsidRPr="00FE21CD">
        <w:rPr>
          <w:color w:val="0E101A"/>
        </w:rPr>
        <w:lastRenderedPageBreak/>
        <w:t>has made it possible for China to double its GDP making it the largest economy in the world, merchandise trader, holder of foreign exchange reserves, and manufacturer. </w:t>
      </w:r>
    </w:p>
    <w:p w:rsidR="008072F0" w:rsidRPr="00FE21CD" w:rsidRDefault="00556224" w:rsidP="004E0E37">
      <w:pPr>
        <w:pStyle w:val="NormalWeb"/>
        <w:spacing w:before="0" w:beforeAutospacing="0" w:after="0" w:afterAutospacing="0" w:line="600" w:lineRule="auto"/>
        <w:rPr>
          <w:color w:val="0E101A"/>
        </w:rPr>
      </w:pPr>
      <w:r w:rsidRPr="00FE21CD">
        <w:rPr>
          <w:color w:val="0E101A"/>
        </w:rPr>
        <w:t xml:space="preserve">            </w:t>
      </w:r>
      <w:r w:rsidR="008072F0" w:rsidRPr="00FE21CD">
        <w:rPr>
          <w:color w:val="0E101A"/>
        </w:rPr>
        <w:t>China is the current largest merchandise trading partner of the United States, third in the largest export market, and the largest source of imports. The emergence of China as a powerful country in economic growth has brought about concerns by some US policymakers. Some argue that China has been using unfair trade practices to surge the US. However, the government of China perceives the growing economy as an important factor to maintain social stability. </w:t>
      </w:r>
    </w:p>
    <w:p w:rsidR="008072F0" w:rsidRPr="00FE21CD" w:rsidRDefault="00556224" w:rsidP="004E0E37">
      <w:pPr>
        <w:pStyle w:val="NormalWeb"/>
        <w:spacing w:before="0" w:beforeAutospacing="0" w:after="0" w:afterAutospacing="0" w:line="600" w:lineRule="auto"/>
        <w:rPr>
          <w:color w:val="0E101A"/>
        </w:rPr>
      </w:pPr>
      <w:r w:rsidRPr="00FE21CD">
        <w:rPr>
          <w:color w:val="0E101A"/>
        </w:rPr>
        <w:t xml:space="preserve">             </w:t>
      </w:r>
      <w:r w:rsidR="006E4CF0">
        <w:rPr>
          <w:color w:val="0E101A"/>
        </w:rPr>
        <w:t xml:space="preserve"> </w:t>
      </w:r>
      <w:r w:rsidR="008072F0" w:rsidRPr="00FE21CD">
        <w:rPr>
          <w:color w:val="0E101A"/>
        </w:rPr>
        <w:t>This powerful growth in the economy in China has made the country involved in global economic policies and projects, especially in infrastructure</w:t>
      </w:r>
      <w:r w:rsidR="003E73B6" w:rsidRPr="003E73B6">
        <w:rPr>
          <w:color w:val="222222"/>
          <w:shd w:val="clear" w:color="auto" w:fill="FFFFFF"/>
        </w:rPr>
        <w:t xml:space="preserve"> </w:t>
      </w:r>
      <w:r w:rsidR="003E73B6">
        <w:rPr>
          <w:color w:val="222222"/>
          <w:shd w:val="clear" w:color="auto" w:fill="FFFFFF"/>
        </w:rPr>
        <w:t>(Morrison &amp;</w:t>
      </w:r>
      <w:r w:rsidR="003E73B6" w:rsidRPr="00FE21CD">
        <w:rPr>
          <w:color w:val="222222"/>
          <w:shd w:val="clear" w:color="auto" w:fill="FFFFFF"/>
        </w:rPr>
        <w:t xml:space="preserve"> W. M</w:t>
      </w:r>
      <w:r w:rsidR="003E73B6">
        <w:rPr>
          <w:color w:val="222222"/>
          <w:shd w:val="clear" w:color="auto" w:fill="FFFFFF"/>
        </w:rPr>
        <w:t>, 2013)</w:t>
      </w:r>
      <w:r w:rsidR="008072F0" w:rsidRPr="00FE21CD">
        <w:rPr>
          <w:color w:val="0E101A"/>
        </w:rPr>
        <w:t>. China is however facing some economic challenges that may threaten future growth including a weak banking system and government support for state-owned firms. </w:t>
      </w:r>
    </w:p>
    <w:p w:rsidR="008072F0" w:rsidRPr="00FE21CD" w:rsidRDefault="00834D2B" w:rsidP="004E0E37">
      <w:pPr>
        <w:pStyle w:val="NormalWeb"/>
        <w:spacing w:before="0" w:beforeAutospacing="0" w:after="0" w:afterAutospacing="0" w:line="600" w:lineRule="auto"/>
        <w:rPr>
          <w:color w:val="0E101A"/>
        </w:rPr>
      </w:pPr>
      <w:r w:rsidRPr="00FE21CD">
        <w:rPr>
          <w:color w:val="0E101A"/>
        </w:rPr>
        <w:t xml:space="preserve">             </w:t>
      </w:r>
      <w:r w:rsidR="00F0642C">
        <w:rPr>
          <w:color w:val="0E101A"/>
        </w:rPr>
        <w:t xml:space="preserve"> </w:t>
      </w:r>
      <w:r w:rsidR="008072F0" w:rsidRPr="00FE21CD">
        <w:rPr>
          <w:color w:val="0E101A"/>
        </w:rPr>
        <w:t>The rapid economic growth in China has been attributed to two major factors by economists: investment in large-scale capital and rapid productivity growth. China has maintained a higher rate of savings with domestic savings standing at 32% as a percentage of GDP. China has also introduced new technologies and has become a major center for new technology. The United Nations Conference on Trade and Development stated that China had become a major global FDI recipient and a major FDI outflow provider. </w:t>
      </w:r>
    </w:p>
    <w:p w:rsidR="008072F0" w:rsidRPr="00FE21CD" w:rsidRDefault="00CD2887" w:rsidP="004E0E37">
      <w:pPr>
        <w:pStyle w:val="NormalWeb"/>
        <w:spacing w:before="0" w:beforeAutospacing="0" w:after="0" w:afterAutospacing="0" w:line="600" w:lineRule="auto"/>
        <w:rPr>
          <w:color w:val="0E101A"/>
        </w:rPr>
      </w:pPr>
      <w:r w:rsidRPr="00FE21CD">
        <w:rPr>
          <w:color w:val="0E101A"/>
        </w:rPr>
        <w:t xml:space="preserve">            </w:t>
      </w:r>
      <w:r w:rsidR="0002709A">
        <w:rPr>
          <w:color w:val="0E101A"/>
        </w:rPr>
        <w:t xml:space="preserve">    </w:t>
      </w:r>
      <w:r w:rsidR="008072F0" w:rsidRPr="00FE21CD">
        <w:rPr>
          <w:color w:val="0E101A"/>
        </w:rPr>
        <w:t xml:space="preserve">China’s trading partners include the European countries, the United States, the Association of Southeast Asian Nations, South Korea, Hong Kong, Taiwan, and Japan. The </w:t>
      </w:r>
      <w:r w:rsidR="008072F0" w:rsidRPr="00FE21CD">
        <w:rPr>
          <w:color w:val="0E101A"/>
        </w:rPr>
        <w:lastRenderedPageBreak/>
        <w:t>top three markets for exports are the United States, ASEAN, and EU28 while the top three markets for imports are EU28, South Korea and ASEAN. Major trade commodities in China include electricity machinery, mineral fuels, machinery, and nuclear reactors. </w:t>
      </w:r>
    </w:p>
    <w:p w:rsidR="008072F0" w:rsidRPr="00FE21CD" w:rsidRDefault="009F3C55" w:rsidP="004E0E37">
      <w:pPr>
        <w:pStyle w:val="NormalWeb"/>
        <w:spacing w:before="0" w:beforeAutospacing="0" w:after="0" w:afterAutospacing="0" w:line="600" w:lineRule="auto"/>
        <w:rPr>
          <w:color w:val="0E101A"/>
        </w:rPr>
      </w:pPr>
      <w:r w:rsidRPr="00FE21CD">
        <w:rPr>
          <w:color w:val="0E101A"/>
        </w:rPr>
        <w:t xml:space="preserve">        </w:t>
      </w:r>
      <w:r w:rsidR="003835EC">
        <w:rPr>
          <w:color w:val="0E101A"/>
        </w:rPr>
        <w:t xml:space="preserve">     </w:t>
      </w:r>
      <w:r w:rsidR="008072F0" w:rsidRPr="00FE21CD">
        <w:rPr>
          <w:color w:val="0E101A"/>
        </w:rPr>
        <w:t>China’s an investment and trade reforms have led to a rise in Foreign Direct Investment (FDI). The flow-on Foreign Direct Investment has been an important source of productivity benefits and rapid trade and economic growth in China. China is the second-largest recipient of FDI after the United States. </w:t>
      </w:r>
    </w:p>
    <w:p w:rsidR="008072F0" w:rsidRPr="00FE21CD" w:rsidRDefault="00203603" w:rsidP="004E0E37">
      <w:pPr>
        <w:pStyle w:val="NormalWeb"/>
        <w:spacing w:before="0" w:beforeAutospacing="0" w:after="0" w:afterAutospacing="0" w:line="600" w:lineRule="auto"/>
        <w:rPr>
          <w:color w:val="0E101A"/>
        </w:rPr>
      </w:pPr>
      <w:r w:rsidRPr="00FE21CD">
        <w:rPr>
          <w:color w:val="0E101A"/>
        </w:rPr>
        <w:t xml:space="preserve">        </w:t>
      </w:r>
      <w:r w:rsidR="00921AA3" w:rsidRPr="00FE21CD">
        <w:rPr>
          <w:color w:val="0E101A"/>
        </w:rPr>
        <w:t xml:space="preserve">  </w:t>
      </w:r>
      <w:r w:rsidRPr="00FE21CD">
        <w:rPr>
          <w:color w:val="0E101A"/>
        </w:rPr>
        <w:t xml:space="preserve"> </w:t>
      </w:r>
      <w:r w:rsidR="003835EC">
        <w:rPr>
          <w:color w:val="0E101A"/>
        </w:rPr>
        <w:t xml:space="preserve">    </w:t>
      </w:r>
      <w:r w:rsidR="008072F0" w:rsidRPr="00FE21CD">
        <w:rPr>
          <w:color w:val="0E101A"/>
        </w:rPr>
        <w:t>Made in China 2025 is an initiative that aims at increasing the competitiveness of Chinese industries, boosting innovations, and reducing reliance on foreign technology by making China dominant in the global manufacturing of different technologies. </w:t>
      </w:r>
    </w:p>
    <w:p w:rsidR="008072F0" w:rsidRPr="00FE21CD" w:rsidRDefault="008072F0" w:rsidP="004E0E37">
      <w:pPr>
        <w:pStyle w:val="NormalWeb"/>
        <w:spacing w:before="0" w:beforeAutospacing="0" w:after="0" w:afterAutospacing="0" w:line="600" w:lineRule="auto"/>
        <w:rPr>
          <w:color w:val="0E101A"/>
        </w:rPr>
      </w:pPr>
      <w:r w:rsidRPr="00FE21CD">
        <w:rPr>
          <w:color w:val="0E101A"/>
        </w:rPr>
        <w:t xml:space="preserve">International trade is a major contribution to the rapid economic growth in China. </w:t>
      </w:r>
      <w:r w:rsidR="00921AA3" w:rsidRPr="00FE21CD">
        <w:rPr>
          <w:color w:val="0E101A"/>
        </w:rPr>
        <w:t xml:space="preserve">         </w:t>
      </w:r>
      <w:r w:rsidRPr="00FE21CD">
        <w:rPr>
          <w:color w:val="0E101A"/>
        </w:rPr>
        <w:t>International trade in China has also experienced rapid expansion making the country target the globe as its market. China’s membership in the World Trade Organization (WTO) has affected China’s international trading system. China’s economy is foreseen to outshine that of the European countries.  </w:t>
      </w:r>
    </w:p>
    <w:p w:rsidR="008072F0" w:rsidRPr="00FE21CD" w:rsidRDefault="00921AA3" w:rsidP="004E0E37">
      <w:pPr>
        <w:pStyle w:val="NormalWeb"/>
        <w:spacing w:before="0" w:beforeAutospacing="0" w:after="0" w:afterAutospacing="0" w:line="600" w:lineRule="auto"/>
        <w:rPr>
          <w:color w:val="0E101A"/>
        </w:rPr>
      </w:pPr>
      <w:r w:rsidRPr="00FE21CD">
        <w:rPr>
          <w:color w:val="0E101A"/>
        </w:rPr>
        <w:t xml:space="preserve">            </w:t>
      </w:r>
      <w:r w:rsidR="00F241AF">
        <w:rPr>
          <w:color w:val="0E101A"/>
        </w:rPr>
        <w:t xml:space="preserve">    </w:t>
      </w:r>
      <w:r w:rsidR="008072F0" w:rsidRPr="00FE21CD">
        <w:rPr>
          <w:color w:val="0E101A"/>
        </w:rPr>
        <w:t>Economic growth has transformed China into a major trading power. Exports have increased from $14 billion to 2.5% while the imports increased from $18 billion to $ 2.1trillion. According to the World Bank, China is one of the most active users of industrial policies. China has also become a major producer of steel globally. </w:t>
      </w:r>
    </w:p>
    <w:p w:rsidR="008072F0" w:rsidRPr="00FE21CD" w:rsidRDefault="00A23151" w:rsidP="004E0E37">
      <w:pPr>
        <w:pStyle w:val="NormalWeb"/>
        <w:spacing w:before="0" w:beforeAutospacing="0" w:after="0" w:afterAutospacing="0" w:line="600" w:lineRule="auto"/>
        <w:rPr>
          <w:color w:val="0E101A"/>
        </w:rPr>
      </w:pPr>
      <w:r w:rsidRPr="00FE21CD">
        <w:rPr>
          <w:color w:val="0E101A"/>
        </w:rPr>
        <w:lastRenderedPageBreak/>
        <w:t xml:space="preserve">            </w:t>
      </w:r>
      <w:r w:rsidR="00B83FEA">
        <w:rPr>
          <w:color w:val="0E101A"/>
        </w:rPr>
        <w:t xml:space="preserve"> </w:t>
      </w:r>
      <w:r w:rsidR="008072F0" w:rsidRPr="00FE21CD">
        <w:rPr>
          <w:color w:val="0E101A"/>
        </w:rPr>
        <w:t>Despite the rapid economic growth, China has experienced some challenges. First, the country is sustaining a major restructuring of the economic model. Policies that were implemented to produce this rapid economic growth have had several costs such as widening income inequality. The use of new marketing technology in China has shaped international trade. Generally, China’s growing economy has influenced global economic growth and trade policies. </w:t>
      </w:r>
    </w:p>
    <w:p w:rsidR="008072F0" w:rsidRPr="00FE21CD" w:rsidRDefault="00F72F85" w:rsidP="004E0E37">
      <w:pPr>
        <w:pStyle w:val="NormalWeb"/>
        <w:spacing w:before="0" w:beforeAutospacing="0" w:after="0" w:afterAutospacing="0" w:line="600" w:lineRule="auto"/>
        <w:rPr>
          <w:color w:val="0E101A"/>
        </w:rPr>
      </w:pPr>
      <w:r w:rsidRPr="00FE21CD">
        <w:rPr>
          <w:rStyle w:val="Strong"/>
          <w:color w:val="0E101A"/>
        </w:rPr>
        <w:t xml:space="preserve">                                                        </w:t>
      </w:r>
      <w:r w:rsidR="008072F0" w:rsidRPr="00FE21CD">
        <w:rPr>
          <w:rStyle w:val="Strong"/>
          <w:color w:val="0E101A"/>
        </w:rPr>
        <w:t>Conclusion</w:t>
      </w:r>
    </w:p>
    <w:p w:rsidR="008072F0" w:rsidRPr="00FE21CD" w:rsidRDefault="00F72F85" w:rsidP="004E0E37">
      <w:pPr>
        <w:pStyle w:val="NormalWeb"/>
        <w:spacing w:before="0" w:beforeAutospacing="0" w:after="0" w:afterAutospacing="0" w:line="600" w:lineRule="auto"/>
        <w:rPr>
          <w:color w:val="0E101A"/>
        </w:rPr>
      </w:pPr>
      <w:r w:rsidRPr="00FE21CD">
        <w:rPr>
          <w:color w:val="0E101A"/>
        </w:rPr>
        <w:t xml:space="preserve">              </w:t>
      </w:r>
      <w:r w:rsidR="00B83FEA">
        <w:rPr>
          <w:color w:val="0E101A"/>
        </w:rPr>
        <w:t xml:space="preserve">    </w:t>
      </w:r>
      <w:r w:rsidR="008072F0" w:rsidRPr="00FE21CD">
        <w:rPr>
          <w:color w:val="0E101A"/>
        </w:rPr>
        <w:t>Most of the causes of income inequality in the United States can be associated with the global shift of the economy. Growing global economic influence and trade policies in China have significant impacts on the United States. China is a growing market for US firms and its partial transformation to a free-market economy has led to economic policies considered harmful to the United States. </w:t>
      </w:r>
    </w:p>
    <w:p w:rsidR="008072F0" w:rsidRPr="00FE21CD" w:rsidRDefault="008072F0" w:rsidP="004E0E37">
      <w:pPr>
        <w:pStyle w:val="NormalWeb"/>
        <w:spacing w:before="0" w:beforeAutospacing="0" w:after="0" w:afterAutospacing="0" w:line="600" w:lineRule="auto"/>
        <w:rPr>
          <w:color w:val="0E101A"/>
        </w:rPr>
      </w:pPr>
    </w:p>
    <w:p w:rsidR="008072F0" w:rsidRPr="00FE21CD" w:rsidRDefault="008072F0" w:rsidP="004E0E37">
      <w:pPr>
        <w:pStyle w:val="NormalWeb"/>
        <w:spacing w:before="0" w:beforeAutospacing="0" w:after="0" w:afterAutospacing="0" w:line="600" w:lineRule="auto"/>
        <w:rPr>
          <w:color w:val="0E101A"/>
        </w:rPr>
      </w:pPr>
    </w:p>
    <w:p w:rsidR="008072F0" w:rsidRPr="00FE21CD" w:rsidRDefault="008072F0" w:rsidP="004E0E37">
      <w:pPr>
        <w:pStyle w:val="NormalWeb"/>
        <w:spacing w:before="0" w:beforeAutospacing="0" w:after="0" w:afterAutospacing="0" w:line="600" w:lineRule="auto"/>
        <w:rPr>
          <w:color w:val="0E101A"/>
        </w:rPr>
      </w:pPr>
    </w:p>
    <w:p w:rsidR="008072F0" w:rsidRPr="00FE21CD" w:rsidRDefault="008072F0" w:rsidP="004E0E37">
      <w:pPr>
        <w:pStyle w:val="NormalWeb"/>
        <w:spacing w:before="0" w:beforeAutospacing="0" w:after="0" w:afterAutospacing="0" w:line="600" w:lineRule="auto"/>
        <w:rPr>
          <w:color w:val="0E101A"/>
        </w:rPr>
      </w:pPr>
    </w:p>
    <w:p w:rsidR="008072F0" w:rsidRPr="00FE21CD" w:rsidRDefault="008072F0" w:rsidP="004E0E37">
      <w:pPr>
        <w:pStyle w:val="NormalWeb"/>
        <w:spacing w:before="0" w:beforeAutospacing="0" w:after="0" w:afterAutospacing="0" w:line="600" w:lineRule="auto"/>
        <w:rPr>
          <w:color w:val="0E101A"/>
        </w:rPr>
      </w:pPr>
      <w:r w:rsidRPr="00FE21CD">
        <w:rPr>
          <w:color w:val="0E101A"/>
        </w:rPr>
        <w:t> </w:t>
      </w:r>
    </w:p>
    <w:p w:rsidR="001C7874" w:rsidRPr="00FE21CD" w:rsidRDefault="001C7874" w:rsidP="004E0E37">
      <w:pPr>
        <w:spacing w:line="600" w:lineRule="auto"/>
        <w:jc w:val="center"/>
        <w:rPr>
          <w:rFonts w:ascii="Times New Roman" w:hAnsi="Times New Roman" w:cs="Times New Roman"/>
        </w:rPr>
      </w:pPr>
    </w:p>
    <w:p w:rsidR="001C7874" w:rsidRPr="00FE21CD" w:rsidRDefault="001C7874" w:rsidP="004E0E37">
      <w:pPr>
        <w:spacing w:line="600" w:lineRule="auto"/>
        <w:jc w:val="center"/>
        <w:rPr>
          <w:rFonts w:ascii="Times New Roman" w:hAnsi="Times New Roman" w:cs="Times New Roman"/>
        </w:rPr>
      </w:pPr>
    </w:p>
    <w:p w:rsidR="001C7874" w:rsidRPr="00FE21CD" w:rsidRDefault="001C7874" w:rsidP="004E0E37">
      <w:pPr>
        <w:spacing w:line="600" w:lineRule="auto"/>
        <w:jc w:val="center"/>
        <w:rPr>
          <w:rFonts w:ascii="Times New Roman" w:hAnsi="Times New Roman" w:cs="Times New Roman"/>
        </w:rPr>
      </w:pPr>
    </w:p>
    <w:p w:rsidR="003633CC" w:rsidRPr="00FE21CD" w:rsidRDefault="003633CC" w:rsidP="004E0E37">
      <w:pPr>
        <w:spacing w:line="600" w:lineRule="auto"/>
        <w:jc w:val="center"/>
        <w:rPr>
          <w:rFonts w:ascii="Times New Roman" w:hAnsi="Times New Roman" w:cs="Times New Roman"/>
        </w:rPr>
      </w:pPr>
      <w:r w:rsidRPr="00FE21CD">
        <w:rPr>
          <w:rFonts w:ascii="Times New Roman" w:hAnsi="Times New Roman" w:cs="Times New Roman"/>
        </w:rPr>
        <w:lastRenderedPageBreak/>
        <w:t>References</w:t>
      </w:r>
    </w:p>
    <w:p w:rsidR="006A102A" w:rsidRPr="00FE21CD" w:rsidRDefault="006A102A" w:rsidP="004E0E37">
      <w:pPr>
        <w:spacing w:line="600" w:lineRule="auto"/>
        <w:jc w:val="center"/>
        <w:rPr>
          <w:rFonts w:ascii="Times New Roman" w:hAnsi="Times New Roman" w:cs="Times New Roman"/>
          <w:color w:val="222222"/>
          <w:shd w:val="clear" w:color="auto" w:fill="FFFFFF"/>
        </w:rPr>
      </w:pPr>
      <w:r w:rsidRPr="00FE21CD">
        <w:rPr>
          <w:rFonts w:ascii="Times New Roman" w:hAnsi="Times New Roman" w:cs="Times New Roman"/>
          <w:color w:val="222222"/>
          <w:shd w:val="clear" w:color="auto" w:fill="FFFFFF"/>
        </w:rPr>
        <w:t>Blecker, R. A. (2016). The US economy since the crisis: slow recovery and secular stagnation. </w:t>
      </w:r>
      <w:r w:rsidRPr="00FE21CD">
        <w:rPr>
          <w:rFonts w:ascii="Times New Roman" w:hAnsi="Times New Roman" w:cs="Times New Roman"/>
          <w:i/>
          <w:iCs/>
          <w:color w:val="222222"/>
          <w:shd w:val="clear" w:color="auto" w:fill="FFFFFF"/>
        </w:rPr>
        <w:t>European Journal of Economics and Economic Policies: Intervention</w:t>
      </w:r>
      <w:r w:rsidRPr="00FE21CD">
        <w:rPr>
          <w:rFonts w:ascii="Times New Roman" w:hAnsi="Times New Roman" w:cs="Times New Roman"/>
          <w:color w:val="222222"/>
          <w:shd w:val="clear" w:color="auto" w:fill="FFFFFF"/>
        </w:rPr>
        <w:t>, </w:t>
      </w:r>
      <w:r w:rsidRPr="00FE21CD">
        <w:rPr>
          <w:rFonts w:ascii="Times New Roman" w:hAnsi="Times New Roman" w:cs="Times New Roman"/>
          <w:i/>
          <w:iCs/>
          <w:color w:val="222222"/>
          <w:shd w:val="clear" w:color="auto" w:fill="FFFFFF"/>
        </w:rPr>
        <w:t>13</w:t>
      </w:r>
      <w:r w:rsidRPr="00FE21CD">
        <w:rPr>
          <w:rFonts w:ascii="Times New Roman" w:hAnsi="Times New Roman" w:cs="Times New Roman"/>
          <w:color w:val="222222"/>
          <w:shd w:val="clear" w:color="auto" w:fill="FFFFFF"/>
        </w:rPr>
        <w:t>(2), 203-214.</w:t>
      </w:r>
      <w:r w:rsidR="00E54F48" w:rsidRPr="00E54F48">
        <w:rPr>
          <w:rFonts w:ascii="Arial" w:hAnsi="Arial" w:cs="Arial"/>
          <w:color w:val="333333"/>
          <w:sz w:val="18"/>
          <w:szCs w:val="18"/>
          <w:shd w:val="clear" w:color="auto" w:fill="FFFFFF"/>
        </w:rPr>
        <w:t xml:space="preserve"> </w:t>
      </w:r>
      <w:r w:rsidR="00E54F48" w:rsidRPr="00811E79">
        <w:rPr>
          <w:rFonts w:ascii="Times New Roman" w:hAnsi="Times New Roman" w:cs="Times New Roman"/>
          <w:color w:val="333333"/>
          <w:shd w:val="clear" w:color="auto" w:fill="FFFFFF"/>
        </w:rPr>
        <w:t>Retrieved </w:t>
      </w:r>
      <w:r w:rsidR="00E54F48" w:rsidRPr="00811E79">
        <w:rPr>
          <w:rStyle w:val="nlmday"/>
          <w:rFonts w:ascii="Times New Roman" w:hAnsi="Times New Roman" w:cs="Times New Roman"/>
          <w:color w:val="333333"/>
          <w:shd w:val="clear" w:color="auto" w:fill="FFFFFF"/>
        </w:rPr>
        <w:t>11</w:t>
      </w:r>
      <w:r w:rsidR="00E54F48" w:rsidRPr="00811E79">
        <w:rPr>
          <w:rFonts w:ascii="Times New Roman" w:hAnsi="Times New Roman" w:cs="Times New Roman"/>
          <w:color w:val="333333"/>
          <w:shd w:val="clear" w:color="auto" w:fill="FFFFFF"/>
        </w:rPr>
        <w:t> </w:t>
      </w:r>
      <w:r w:rsidR="00E54F48" w:rsidRPr="00811E79">
        <w:rPr>
          <w:rStyle w:val="nlmmonth"/>
          <w:rFonts w:ascii="Times New Roman" w:hAnsi="Times New Roman" w:cs="Times New Roman"/>
          <w:color w:val="333333"/>
          <w:shd w:val="clear" w:color="auto" w:fill="FFFFFF"/>
        </w:rPr>
        <w:t>October</w:t>
      </w:r>
      <w:r w:rsidR="00E54F48" w:rsidRPr="00811E79">
        <w:rPr>
          <w:rFonts w:ascii="Times New Roman" w:hAnsi="Times New Roman" w:cs="Times New Roman"/>
          <w:color w:val="333333"/>
          <w:shd w:val="clear" w:color="auto" w:fill="FFFFFF"/>
        </w:rPr>
        <w:t> </w:t>
      </w:r>
      <w:r w:rsidR="00E54F48" w:rsidRPr="00811E79">
        <w:rPr>
          <w:rStyle w:val="nlmyear"/>
          <w:rFonts w:ascii="Times New Roman" w:hAnsi="Times New Roman" w:cs="Times New Roman"/>
          <w:color w:val="333333"/>
          <w:shd w:val="clear" w:color="auto" w:fill="FFFFFF"/>
        </w:rPr>
        <w:t>2017</w:t>
      </w:r>
      <w:r w:rsidR="00E54F48" w:rsidRPr="00811E79">
        <w:rPr>
          <w:rFonts w:ascii="Times New Roman" w:hAnsi="Times New Roman" w:cs="Times New Roman"/>
          <w:color w:val="333333"/>
          <w:shd w:val="clear" w:color="auto" w:fill="FFFFFF"/>
        </w:rPr>
        <w:t>, from </w:t>
      </w:r>
      <w:hyperlink r:id="rId11" w:history="1">
        <w:r w:rsidR="00E54F48" w:rsidRPr="00811E79">
          <w:rPr>
            <w:rStyle w:val="Hyperlink"/>
            <w:rFonts w:ascii="Times New Roman" w:hAnsi="Times New Roman" w:cs="Times New Roman"/>
            <w:color w:val="006ACC"/>
            <w:shd w:val="clear" w:color="auto" w:fill="FFFFFF"/>
          </w:rPr>
          <w:t>http://fs2.american.edu/blecker/www/research/Blecker-stagnation-rev-Mar2016.pdf</w:t>
        </w:r>
      </w:hyperlink>
    </w:p>
    <w:p w:rsidR="00FE21CD" w:rsidRPr="00811E79" w:rsidRDefault="00FE21CD" w:rsidP="004E0E37">
      <w:pPr>
        <w:spacing w:line="600" w:lineRule="auto"/>
        <w:jc w:val="center"/>
        <w:rPr>
          <w:rFonts w:ascii="Times New Roman" w:hAnsi="Times New Roman" w:cs="Times New Roman"/>
          <w:b/>
        </w:rPr>
      </w:pPr>
      <w:r w:rsidRPr="00FE21CD">
        <w:rPr>
          <w:rFonts w:ascii="Times New Roman" w:hAnsi="Times New Roman" w:cs="Times New Roman"/>
          <w:color w:val="222222"/>
          <w:shd w:val="clear" w:color="auto" w:fill="FFFFFF"/>
        </w:rPr>
        <w:t>Morrison, W. M. (2013). </w:t>
      </w:r>
      <w:r w:rsidRPr="00FE21CD">
        <w:rPr>
          <w:rFonts w:ascii="Times New Roman" w:hAnsi="Times New Roman" w:cs="Times New Roman"/>
          <w:i/>
          <w:iCs/>
          <w:color w:val="222222"/>
          <w:shd w:val="clear" w:color="auto" w:fill="FFFFFF"/>
        </w:rPr>
        <w:t>China's economic rise: history, trends, challenges, and implications for the United States</w:t>
      </w:r>
      <w:r w:rsidRPr="00FE21CD">
        <w:rPr>
          <w:rFonts w:ascii="Times New Roman" w:hAnsi="Times New Roman" w:cs="Times New Roman"/>
          <w:color w:val="222222"/>
          <w:shd w:val="clear" w:color="auto" w:fill="FFFFFF"/>
        </w:rPr>
        <w:t> (pp. 20-22). Washington, DC: Congressional research service</w:t>
      </w:r>
      <w:r w:rsidRPr="00811E79">
        <w:rPr>
          <w:rFonts w:ascii="Times New Roman" w:hAnsi="Times New Roman" w:cs="Times New Roman"/>
          <w:color w:val="222222"/>
          <w:shd w:val="clear" w:color="auto" w:fill="FFFFFF"/>
        </w:rPr>
        <w:t>.</w:t>
      </w:r>
      <w:r w:rsidR="00811E79" w:rsidRPr="00811E79">
        <w:rPr>
          <w:rFonts w:ascii="Times New Roman" w:hAnsi="Times New Roman" w:cs="Times New Roman"/>
          <w:color w:val="333333"/>
          <w:shd w:val="clear" w:color="auto" w:fill="FFFFFF"/>
        </w:rPr>
        <w:t xml:space="preserve"> Retrieved from </w:t>
      </w:r>
      <w:hyperlink r:id="rId12" w:history="1">
        <w:r w:rsidR="00811E79" w:rsidRPr="00811E79">
          <w:rPr>
            <w:rStyle w:val="Hyperlink"/>
            <w:rFonts w:ascii="Times New Roman" w:hAnsi="Times New Roman" w:cs="Times New Roman"/>
            <w:color w:val="006ACC"/>
            <w:shd w:val="clear" w:color="auto" w:fill="FFFFFF"/>
          </w:rPr>
          <w:t>http://www.loc.gov/crsinfo/about/</w:t>
        </w:r>
      </w:hyperlink>
    </w:p>
    <w:p w:rsidR="00B0194B" w:rsidRPr="00811E79" w:rsidRDefault="00B0194B">
      <w:pPr>
        <w:spacing w:line="600" w:lineRule="auto"/>
        <w:jc w:val="center"/>
        <w:rPr>
          <w:rFonts w:ascii="Times New Roman" w:hAnsi="Times New Roman" w:cs="Times New Roman"/>
          <w:b/>
        </w:rPr>
      </w:pPr>
    </w:p>
    <w:sectPr w:rsidR="00B0194B" w:rsidRPr="00811E79" w:rsidSect="0038204C">
      <w:headerReference w:type="default" r:id="rId13"/>
      <w:headerReference w:type="first" r:id="rId14"/>
      <w:pgSz w:w="11900" w:h="16840"/>
      <w:pgMar w:top="1440" w:right="1440" w:bottom="1440" w:left="1440" w:header="1440" w:footer="144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277" w:rsidRDefault="008E3277" w:rsidP="008A2ED5">
      <w:r>
        <w:separator/>
      </w:r>
    </w:p>
  </w:endnote>
  <w:endnote w:type="continuationSeparator" w:id="1">
    <w:p w:rsidR="008E3277" w:rsidRDefault="008E3277" w:rsidP="008A2E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277" w:rsidRDefault="008E3277" w:rsidP="008A2ED5">
      <w:r>
        <w:separator/>
      </w:r>
    </w:p>
  </w:footnote>
  <w:footnote w:type="continuationSeparator" w:id="1">
    <w:p w:rsidR="008E3277" w:rsidRDefault="008E3277" w:rsidP="008A2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D5" w:rsidRPr="008A2ED5" w:rsidRDefault="006125E7">
    <w:pPr>
      <w:pStyle w:val="Header"/>
      <w:rPr>
        <w:rFonts w:ascii="Times New Roman" w:hAnsi="Times New Roman" w:cs="Times New Roman"/>
      </w:rPr>
    </w:pPr>
    <w:r>
      <w:rPr>
        <w:rFonts w:ascii="Times New Roman" w:hAnsi="Times New Roman" w:cs="Times New Roman"/>
      </w:rPr>
      <w:t>INTERNATIONAL BUSINESS</w:t>
    </w:r>
    <w:r w:rsidR="008A2ED5" w:rsidRPr="008A2ED5">
      <w:rPr>
        <w:rFonts w:ascii="Times New Roman" w:hAnsi="Times New Roman" w:cs="Times New Roman"/>
      </w:rPr>
      <w:t xml:space="preserve">MODULE </w:t>
    </w:r>
    <w:r w:rsidR="00947F5A">
      <w:rPr>
        <w:rFonts w:ascii="Times New Roman" w:hAnsi="Times New Roman" w:cs="Times New Roman"/>
      </w:rPr>
      <w:t>3</w:t>
    </w:r>
    <w:r w:rsidR="00B91518">
      <w:rPr>
        <w:rFonts w:ascii="Times New Roman" w:hAnsi="Times New Roman" w:cs="Times New Roman"/>
      </w:rPr>
      <w:t>CASE</w:t>
    </w:r>
    <w:r w:rsidR="008A2ED5" w:rsidRPr="008A2ED5">
      <w:rPr>
        <w:rFonts w:ascii="Times New Roman" w:hAnsi="Times New Roman" w:cs="Times New Roman"/>
      </w:rPr>
      <w:tab/>
    </w:r>
    <w:r w:rsidR="00EE6380" w:rsidRPr="008A2ED5">
      <w:rPr>
        <w:rFonts w:ascii="Times New Roman" w:hAnsi="Times New Roman" w:cs="Times New Roman"/>
      </w:rPr>
      <w:fldChar w:fldCharType="begin"/>
    </w:r>
    <w:r w:rsidR="008A2ED5" w:rsidRPr="008A2ED5">
      <w:rPr>
        <w:rFonts w:ascii="Times New Roman" w:hAnsi="Times New Roman" w:cs="Times New Roman"/>
      </w:rPr>
      <w:instrText xml:space="preserve"> PAGE   \* MERGEFORMAT </w:instrText>
    </w:r>
    <w:r w:rsidR="00EE6380" w:rsidRPr="008A2ED5">
      <w:rPr>
        <w:rFonts w:ascii="Times New Roman" w:hAnsi="Times New Roman" w:cs="Times New Roman"/>
      </w:rPr>
      <w:fldChar w:fldCharType="separate"/>
    </w:r>
    <w:r w:rsidR="00B83FEA">
      <w:rPr>
        <w:rFonts w:ascii="Times New Roman" w:hAnsi="Times New Roman" w:cs="Times New Roman"/>
        <w:noProof/>
      </w:rPr>
      <w:t>7</w:t>
    </w:r>
    <w:r w:rsidR="00EE6380" w:rsidRPr="008A2ED5">
      <w:rPr>
        <w:rFonts w:ascii="Times New Roman" w:hAnsi="Times New Roman" w:cs="Times New Roman"/>
        <w:noProof/>
      </w:rPr>
      <w:fldChar w:fldCharType="end"/>
    </w:r>
  </w:p>
  <w:p w:rsidR="008A2ED5" w:rsidRDefault="008A2E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D5" w:rsidRPr="008A2ED5" w:rsidRDefault="008A2ED5" w:rsidP="008A2ED5">
    <w:pPr>
      <w:pStyle w:val="Header"/>
      <w:rPr>
        <w:rFonts w:ascii="Times New Roman" w:hAnsi="Times New Roman" w:cs="Times New Roman"/>
      </w:rPr>
    </w:pPr>
    <w:r w:rsidRPr="008A2ED5">
      <w:rPr>
        <w:rFonts w:ascii="Times New Roman" w:hAnsi="Times New Roman" w:cs="Times New Roman"/>
      </w:rPr>
      <w:t xml:space="preserve">Running head: </w:t>
    </w:r>
    <w:r w:rsidR="006125E7">
      <w:rPr>
        <w:rFonts w:ascii="Times New Roman" w:hAnsi="Times New Roman" w:cs="Times New Roman"/>
      </w:rPr>
      <w:t>INTERNATIONAL BUSINESS</w:t>
    </w:r>
    <w:r w:rsidRPr="008A2ED5">
      <w:rPr>
        <w:rFonts w:ascii="Times New Roman" w:hAnsi="Times New Roman" w:cs="Times New Roman"/>
      </w:rPr>
      <w:t xml:space="preserve">MODULE </w:t>
    </w:r>
    <w:r w:rsidR="00947F5A">
      <w:rPr>
        <w:rFonts w:ascii="Times New Roman" w:hAnsi="Times New Roman" w:cs="Times New Roman"/>
      </w:rPr>
      <w:t>3</w:t>
    </w:r>
    <w:r w:rsidR="00B91518">
      <w:rPr>
        <w:rFonts w:ascii="Times New Roman" w:hAnsi="Times New Roman" w:cs="Times New Roman"/>
      </w:rPr>
      <w:t>CASE</w:t>
    </w:r>
    <w:r w:rsidR="00395111">
      <w:rPr>
        <w:rFonts w:ascii="Times New Roman" w:hAnsi="Times New Roman" w:cs="Times New Roman"/>
      </w:rPr>
      <w:tab/>
    </w:r>
    <w:r w:rsidR="00EE6380" w:rsidRPr="008A2ED5">
      <w:rPr>
        <w:rFonts w:ascii="Times New Roman" w:hAnsi="Times New Roman" w:cs="Times New Roman"/>
      </w:rPr>
      <w:fldChar w:fldCharType="begin"/>
    </w:r>
    <w:r w:rsidRPr="008A2ED5">
      <w:rPr>
        <w:rFonts w:ascii="Times New Roman" w:hAnsi="Times New Roman" w:cs="Times New Roman"/>
      </w:rPr>
      <w:instrText xml:space="preserve"> PAGE   \* MERGEFORMAT </w:instrText>
    </w:r>
    <w:r w:rsidR="00EE6380" w:rsidRPr="008A2ED5">
      <w:rPr>
        <w:rFonts w:ascii="Times New Roman" w:hAnsi="Times New Roman" w:cs="Times New Roman"/>
      </w:rPr>
      <w:fldChar w:fldCharType="separate"/>
    </w:r>
    <w:r w:rsidR="00B0194B">
      <w:rPr>
        <w:rFonts w:ascii="Times New Roman" w:hAnsi="Times New Roman" w:cs="Times New Roman"/>
        <w:noProof/>
      </w:rPr>
      <w:t>1</w:t>
    </w:r>
    <w:r w:rsidR="00EE6380" w:rsidRPr="008A2ED5">
      <w:rPr>
        <w:rFonts w:ascii="Times New Roman" w:hAnsi="Times New Roman" w:cs="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A63"/>
    <w:multiLevelType w:val="hybridMultilevel"/>
    <w:tmpl w:val="15F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F07DA"/>
    <w:multiLevelType w:val="hybridMultilevel"/>
    <w:tmpl w:val="6C5A3CAC"/>
    <w:lvl w:ilvl="0" w:tplc="907666A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E6674B"/>
    <w:multiLevelType w:val="hybridMultilevel"/>
    <w:tmpl w:val="FB8E095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3DBA503D"/>
    <w:multiLevelType w:val="hybridMultilevel"/>
    <w:tmpl w:val="E90C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35E95"/>
    <w:multiLevelType w:val="multilevel"/>
    <w:tmpl w:val="A052F99E"/>
    <w:lvl w:ilvl="0">
      <w:numFmt w:val="bullet"/>
      <w:lvlText w:val="•"/>
      <w:lvlJc w:val="left"/>
      <w:pPr>
        <w:tabs>
          <w:tab w:val="num" w:pos="360"/>
        </w:tabs>
        <w:ind w:left="360" w:hanging="360"/>
      </w:pPr>
      <w:rPr>
        <w:rFonts w:ascii="Arial" w:hAnsi="Arial" w:hint="default"/>
        <w:sz w:val="24"/>
      </w:rPr>
    </w:lvl>
    <w:lvl w:ilvl="1">
      <w:numFmt w:val="bullet"/>
      <w:lvlText w:val="·"/>
      <w:lvlJc w:val="left"/>
      <w:pPr>
        <w:ind w:left="1260" w:hanging="540"/>
      </w:pPr>
      <w:rPr>
        <w:rFonts w:ascii="Calibri" w:eastAsiaTheme="minorHAnsi" w:hAnsi="Calibri" w:cstheme="minorBidi" w:hint="default"/>
      </w:rPr>
    </w:lvl>
    <w:lvl w:ilvl="2">
      <w:start w:val="2"/>
      <w:numFmt w:val="bullet"/>
      <w:lvlText w:val=""/>
      <w:lvlJc w:val="left"/>
      <w:pPr>
        <w:ind w:left="1800" w:hanging="360"/>
      </w:pPr>
      <w:rPr>
        <w:rFonts w:ascii="Wingdings" w:eastAsiaTheme="minorHAnsi" w:hAnsi="Wingdings" w:cstheme="minorBidi"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56151973"/>
    <w:multiLevelType w:val="hybridMultilevel"/>
    <w:tmpl w:val="8082661C"/>
    <w:lvl w:ilvl="0" w:tplc="907666A6">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characterSpacingControl w:val="doNotCompress"/>
  <w:hdrShapeDefaults>
    <o:shapedefaults v:ext="edit" spidmax="2048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IwNjEzsjSxsDQ0MTVU0lEKTi0uzszPAykwrAUA5AYucCwAAAA="/>
  </w:docVars>
  <w:rsids>
    <w:rsidRoot w:val="002B2199"/>
    <w:rsid w:val="00000B08"/>
    <w:rsid w:val="00001857"/>
    <w:rsid w:val="0001072F"/>
    <w:rsid w:val="00014206"/>
    <w:rsid w:val="0002709A"/>
    <w:rsid w:val="0002792A"/>
    <w:rsid w:val="00031512"/>
    <w:rsid w:val="000478E4"/>
    <w:rsid w:val="000529D7"/>
    <w:rsid w:val="000561F0"/>
    <w:rsid w:val="00056212"/>
    <w:rsid w:val="00057CD7"/>
    <w:rsid w:val="00064254"/>
    <w:rsid w:val="00077CEF"/>
    <w:rsid w:val="00082D1A"/>
    <w:rsid w:val="000834B3"/>
    <w:rsid w:val="000919BD"/>
    <w:rsid w:val="00092D62"/>
    <w:rsid w:val="0009697F"/>
    <w:rsid w:val="000A4071"/>
    <w:rsid w:val="000D2B77"/>
    <w:rsid w:val="000E0A19"/>
    <w:rsid w:val="000E53F2"/>
    <w:rsid w:val="000F18FB"/>
    <w:rsid w:val="00100319"/>
    <w:rsid w:val="00110E35"/>
    <w:rsid w:val="001206BB"/>
    <w:rsid w:val="00133D3B"/>
    <w:rsid w:val="0014200C"/>
    <w:rsid w:val="001479D0"/>
    <w:rsid w:val="00153FA2"/>
    <w:rsid w:val="0015600F"/>
    <w:rsid w:val="00164213"/>
    <w:rsid w:val="00171412"/>
    <w:rsid w:val="00180FDC"/>
    <w:rsid w:val="001846DE"/>
    <w:rsid w:val="00190CB1"/>
    <w:rsid w:val="00196BEB"/>
    <w:rsid w:val="001979DD"/>
    <w:rsid w:val="001A1B0C"/>
    <w:rsid w:val="001A544B"/>
    <w:rsid w:val="001A61C2"/>
    <w:rsid w:val="001A6CE5"/>
    <w:rsid w:val="001B0555"/>
    <w:rsid w:val="001B3C67"/>
    <w:rsid w:val="001B5382"/>
    <w:rsid w:val="001B56B3"/>
    <w:rsid w:val="001B6C61"/>
    <w:rsid w:val="001C507C"/>
    <w:rsid w:val="001C5D96"/>
    <w:rsid w:val="001C7874"/>
    <w:rsid w:val="001C7E02"/>
    <w:rsid w:val="001E4D8E"/>
    <w:rsid w:val="001E6590"/>
    <w:rsid w:val="001E71FE"/>
    <w:rsid w:val="001F188F"/>
    <w:rsid w:val="001F2FD8"/>
    <w:rsid w:val="001F33E7"/>
    <w:rsid w:val="001F606F"/>
    <w:rsid w:val="00203603"/>
    <w:rsid w:val="002300B8"/>
    <w:rsid w:val="00231F9A"/>
    <w:rsid w:val="00236C94"/>
    <w:rsid w:val="00244186"/>
    <w:rsid w:val="002453DB"/>
    <w:rsid w:val="00263F3D"/>
    <w:rsid w:val="002641AA"/>
    <w:rsid w:val="0026628A"/>
    <w:rsid w:val="00287125"/>
    <w:rsid w:val="0029459E"/>
    <w:rsid w:val="002B2199"/>
    <w:rsid w:val="002E029F"/>
    <w:rsid w:val="002E4AB0"/>
    <w:rsid w:val="002E690F"/>
    <w:rsid w:val="002E6F5B"/>
    <w:rsid w:val="002E792E"/>
    <w:rsid w:val="002F1492"/>
    <w:rsid w:val="002F234C"/>
    <w:rsid w:val="0030217F"/>
    <w:rsid w:val="0030536A"/>
    <w:rsid w:val="003132CB"/>
    <w:rsid w:val="0032188E"/>
    <w:rsid w:val="003301A7"/>
    <w:rsid w:val="0033360B"/>
    <w:rsid w:val="00335ECE"/>
    <w:rsid w:val="003418B4"/>
    <w:rsid w:val="00342D65"/>
    <w:rsid w:val="003436E3"/>
    <w:rsid w:val="003445E2"/>
    <w:rsid w:val="0035029C"/>
    <w:rsid w:val="00352EC8"/>
    <w:rsid w:val="00353E55"/>
    <w:rsid w:val="0035724D"/>
    <w:rsid w:val="003633CC"/>
    <w:rsid w:val="003635ED"/>
    <w:rsid w:val="00375E59"/>
    <w:rsid w:val="0038204C"/>
    <w:rsid w:val="003820E1"/>
    <w:rsid w:val="003824E8"/>
    <w:rsid w:val="003835EC"/>
    <w:rsid w:val="00384C64"/>
    <w:rsid w:val="0039502D"/>
    <w:rsid w:val="00395111"/>
    <w:rsid w:val="003A7FE3"/>
    <w:rsid w:val="003B1C1B"/>
    <w:rsid w:val="003D5BAE"/>
    <w:rsid w:val="003E3747"/>
    <w:rsid w:val="003E73B6"/>
    <w:rsid w:val="003E75C8"/>
    <w:rsid w:val="003F2F7C"/>
    <w:rsid w:val="003F694E"/>
    <w:rsid w:val="0040788C"/>
    <w:rsid w:val="00410D2E"/>
    <w:rsid w:val="00411E29"/>
    <w:rsid w:val="0041276F"/>
    <w:rsid w:val="00412CC1"/>
    <w:rsid w:val="00417AA1"/>
    <w:rsid w:val="004207DF"/>
    <w:rsid w:val="00421C9E"/>
    <w:rsid w:val="00422402"/>
    <w:rsid w:val="00425A66"/>
    <w:rsid w:val="004402F0"/>
    <w:rsid w:val="004453A5"/>
    <w:rsid w:val="00455942"/>
    <w:rsid w:val="00461773"/>
    <w:rsid w:val="004668B4"/>
    <w:rsid w:val="00466B82"/>
    <w:rsid w:val="004718A8"/>
    <w:rsid w:val="0047778D"/>
    <w:rsid w:val="004823CC"/>
    <w:rsid w:val="00486067"/>
    <w:rsid w:val="004861AD"/>
    <w:rsid w:val="00493E71"/>
    <w:rsid w:val="004A4F13"/>
    <w:rsid w:val="004A6BC1"/>
    <w:rsid w:val="004B06E3"/>
    <w:rsid w:val="004B2A42"/>
    <w:rsid w:val="004B5386"/>
    <w:rsid w:val="004D1B81"/>
    <w:rsid w:val="004D270A"/>
    <w:rsid w:val="004D4783"/>
    <w:rsid w:val="004D5B53"/>
    <w:rsid w:val="004E0E37"/>
    <w:rsid w:val="004E2F8F"/>
    <w:rsid w:val="0050218B"/>
    <w:rsid w:val="0050564A"/>
    <w:rsid w:val="00511028"/>
    <w:rsid w:val="0052322E"/>
    <w:rsid w:val="005275AB"/>
    <w:rsid w:val="00532A36"/>
    <w:rsid w:val="005335A5"/>
    <w:rsid w:val="00535D8F"/>
    <w:rsid w:val="0054417A"/>
    <w:rsid w:val="005513F9"/>
    <w:rsid w:val="0055303F"/>
    <w:rsid w:val="00556224"/>
    <w:rsid w:val="00560211"/>
    <w:rsid w:val="00562A29"/>
    <w:rsid w:val="00582BFD"/>
    <w:rsid w:val="00586946"/>
    <w:rsid w:val="005C3459"/>
    <w:rsid w:val="005C7BB0"/>
    <w:rsid w:val="005C7E00"/>
    <w:rsid w:val="005D70B9"/>
    <w:rsid w:val="005E2C2D"/>
    <w:rsid w:val="00604F92"/>
    <w:rsid w:val="0061041C"/>
    <w:rsid w:val="006125E7"/>
    <w:rsid w:val="006136DC"/>
    <w:rsid w:val="006165FB"/>
    <w:rsid w:val="00617C2C"/>
    <w:rsid w:val="0062631D"/>
    <w:rsid w:val="0062654F"/>
    <w:rsid w:val="006474F3"/>
    <w:rsid w:val="00651ADA"/>
    <w:rsid w:val="00652059"/>
    <w:rsid w:val="00654EA1"/>
    <w:rsid w:val="00666E61"/>
    <w:rsid w:val="00677972"/>
    <w:rsid w:val="00684D34"/>
    <w:rsid w:val="00687D64"/>
    <w:rsid w:val="006929FD"/>
    <w:rsid w:val="00692D6D"/>
    <w:rsid w:val="00697E3A"/>
    <w:rsid w:val="00697F4E"/>
    <w:rsid w:val="006A102A"/>
    <w:rsid w:val="006B471C"/>
    <w:rsid w:val="006C4DCB"/>
    <w:rsid w:val="006E4CF0"/>
    <w:rsid w:val="006E79A5"/>
    <w:rsid w:val="006F55E7"/>
    <w:rsid w:val="006F79B5"/>
    <w:rsid w:val="00700A1F"/>
    <w:rsid w:val="00701560"/>
    <w:rsid w:val="00704D10"/>
    <w:rsid w:val="007112E0"/>
    <w:rsid w:val="00712149"/>
    <w:rsid w:val="007143EE"/>
    <w:rsid w:val="00730DFD"/>
    <w:rsid w:val="007311AD"/>
    <w:rsid w:val="007350C8"/>
    <w:rsid w:val="0074102D"/>
    <w:rsid w:val="007411D0"/>
    <w:rsid w:val="00741E2A"/>
    <w:rsid w:val="00751D19"/>
    <w:rsid w:val="00752AC0"/>
    <w:rsid w:val="00752CBF"/>
    <w:rsid w:val="00752DEC"/>
    <w:rsid w:val="007560A5"/>
    <w:rsid w:val="00760B33"/>
    <w:rsid w:val="00761E91"/>
    <w:rsid w:val="007843D8"/>
    <w:rsid w:val="00786F36"/>
    <w:rsid w:val="00787C97"/>
    <w:rsid w:val="0079367A"/>
    <w:rsid w:val="00797529"/>
    <w:rsid w:val="007A7ED5"/>
    <w:rsid w:val="007C28AE"/>
    <w:rsid w:val="007C3AA2"/>
    <w:rsid w:val="007C5CAA"/>
    <w:rsid w:val="007E1A50"/>
    <w:rsid w:val="007F0F80"/>
    <w:rsid w:val="00803DA8"/>
    <w:rsid w:val="00804FE5"/>
    <w:rsid w:val="008072F0"/>
    <w:rsid w:val="008100EA"/>
    <w:rsid w:val="00811E79"/>
    <w:rsid w:val="0081240B"/>
    <w:rsid w:val="00812CCA"/>
    <w:rsid w:val="00813E6E"/>
    <w:rsid w:val="008151A7"/>
    <w:rsid w:val="0081781E"/>
    <w:rsid w:val="00817B95"/>
    <w:rsid w:val="00817C06"/>
    <w:rsid w:val="00823E3C"/>
    <w:rsid w:val="00830B88"/>
    <w:rsid w:val="00834D2B"/>
    <w:rsid w:val="00837AEA"/>
    <w:rsid w:val="00844A5E"/>
    <w:rsid w:val="00845F64"/>
    <w:rsid w:val="0085348F"/>
    <w:rsid w:val="00865D11"/>
    <w:rsid w:val="00866219"/>
    <w:rsid w:val="008674A5"/>
    <w:rsid w:val="0087065B"/>
    <w:rsid w:val="00874999"/>
    <w:rsid w:val="00875D08"/>
    <w:rsid w:val="00883233"/>
    <w:rsid w:val="00892B5A"/>
    <w:rsid w:val="008A2D65"/>
    <w:rsid w:val="008A2ED5"/>
    <w:rsid w:val="008A43B0"/>
    <w:rsid w:val="008B68EA"/>
    <w:rsid w:val="008C0084"/>
    <w:rsid w:val="008C675B"/>
    <w:rsid w:val="008D4C1F"/>
    <w:rsid w:val="008E2409"/>
    <w:rsid w:val="008E3277"/>
    <w:rsid w:val="008E420B"/>
    <w:rsid w:val="008E473C"/>
    <w:rsid w:val="008E5E23"/>
    <w:rsid w:val="0090025C"/>
    <w:rsid w:val="009109C2"/>
    <w:rsid w:val="00912414"/>
    <w:rsid w:val="00913828"/>
    <w:rsid w:val="00920272"/>
    <w:rsid w:val="00921AA3"/>
    <w:rsid w:val="00923A27"/>
    <w:rsid w:val="00925F5E"/>
    <w:rsid w:val="00947F5A"/>
    <w:rsid w:val="009526A3"/>
    <w:rsid w:val="00967DB4"/>
    <w:rsid w:val="009801C9"/>
    <w:rsid w:val="009804DA"/>
    <w:rsid w:val="0099258E"/>
    <w:rsid w:val="0099487F"/>
    <w:rsid w:val="009A40EF"/>
    <w:rsid w:val="009B0C74"/>
    <w:rsid w:val="009B24F3"/>
    <w:rsid w:val="009B4C2B"/>
    <w:rsid w:val="009B5CD2"/>
    <w:rsid w:val="009B673C"/>
    <w:rsid w:val="009C1528"/>
    <w:rsid w:val="009C27D9"/>
    <w:rsid w:val="009E17C5"/>
    <w:rsid w:val="009E6B0D"/>
    <w:rsid w:val="009F1110"/>
    <w:rsid w:val="009F3044"/>
    <w:rsid w:val="009F308B"/>
    <w:rsid w:val="009F3C55"/>
    <w:rsid w:val="00A011A6"/>
    <w:rsid w:val="00A1076E"/>
    <w:rsid w:val="00A16A30"/>
    <w:rsid w:val="00A22659"/>
    <w:rsid w:val="00A23151"/>
    <w:rsid w:val="00A3102A"/>
    <w:rsid w:val="00A319C1"/>
    <w:rsid w:val="00A34A0A"/>
    <w:rsid w:val="00A36DBB"/>
    <w:rsid w:val="00A41A1F"/>
    <w:rsid w:val="00A677A6"/>
    <w:rsid w:val="00A72026"/>
    <w:rsid w:val="00A800A6"/>
    <w:rsid w:val="00A94211"/>
    <w:rsid w:val="00AA1A26"/>
    <w:rsid w:val="00AA3D58"/>
    <w:rsid w:val="00AA65EA"/>
    <w:rsid w:val="00AB26B9"/>
    <w:rsid w:val="00AB64B0"/>
    <w:rsid w:val="00AC0B2F"/>
    <w:rsid w:val="00AD333B"/>
    <w:rsid w:val="00AD6FB8"/>
    <w:rsid w:val="00AE3EA8"/>
    <w:rsid w:val="00AF38F2"/>
    <w:rsid w:val="00B0194B"/>
    <w:rsid w:val="00B02E10"/>
    <w:rsid w:val="00B067F2"/>
    <w:rsid w:val="00B10D98"/>
    <w:rsid w:val="00B144B3"/>
    <w:rsid w:val="00B20F68"/>
    <w:rsid w:val="00B23A44"/>
    <w:rsid w:val="00B24E0F"/>
    <w:rsid w:val="00B30B08"/>
    <w:rsid w:val="00B36A8A"/>
    <w:rsid w:val="00B37407"/>
    <w:rsid w:val="00B5061C"/>
    <w:rsid w:val="00B5296F"/>
    <w:rsid w:val="00B54913"/>
    <w:rsid w:val="00B552B2"/>
    <w:rsid w:val="00B60BBD"/>
    <w:rsid w:val="00B65E5D"/>
    <w:rsid w:val="00B76637"/>
    <w:rsid w:val="00B8104F"/>
    <w:rsid w:val="00B81284"/>
    <w:rsid w:val="00B83FEA"/>
    <w:rsid w:val="00B91288"/>
    <w:rsid w:val="00B91518"/>
    <w:rsid w:val="00B91A49"/>
    <w:rsid w:val="00B977E6"/>
    <w:rsid w:val="00BA37A7"/>
    <w:rsid w:val="00BA45D1"/>
    <w:rsid w:val="00BB50FA"/>
    <w:rsid w:val="00BC1948"/>
    <w:rsid w:val="00BC1B59"/>
    <w:rsid w:val="00BC7C8B"/>
    <w:rsid w:val="00BD7D2B"/>
    <w:rsid w:val="00BE49CB"/>
    <w:rsid w:val="00C01A6B"/>
    <w:rsid w:val="00C04FCB"/>
    <w:rsid w:val="00C06AC4"/>
    <w:rsid w:val="00C129D3"/>
    <w:rsid w:val="00C20757"/>
    <w:rsid w:val="00C33605"/>
    <w:rsid w:val="00C33849"/>
    <w:rsid w:val="00C40849"/>
    <w:rsid w:val="00C422A2"/>
    <w:rsid w:val="00C5524A"/>
    <w:rsid w:val="00C55D25"/>
    <w:rsid w:val="00C643CD"/>
    <w:rsid w:val="00C71FB7"/>
    <w:rsid w:val="00C83580"/>
    <w:rsid w:val="00C9121C"/>
    <w:rsid w:val="00C96EF7"/>
    <w:rsid w:val="00CA1818"/>
    <w:rsid w:val="00CA5645"/>
    <w:rsid w:val="00CA7C9C"/>
    <w:rsid w:val="00CB0E83"/>
    <w:rsid w:val="00CB2390"/>
    <w:rsid w:val="00CB26FC"/>
    <w:rsid w:val="00CB4183"/>
    <w:rsid w:val="00CB5798"/>
    <w:rsid w:val="00CB6589"/>
    <w:rsid w:val="00CC221A"/>
    <w:rsid w:val="00CC23E3"/>
    <w:rsid w:val="00CD07E2"/>
    <w:rsid w:val="00CD1ADF"/>
    <w:rsid w:val="00CD2887"/>
    <w:rsid w:val="00CE3841"/>
    <w:rsid w:val="00CE7FFA"/>
    <w:rsid w:val="00D028F2"/>
    <w:rsid w:val="00D0630C"/>
    <w:rsid w:val="00D073C4"/>
    <w:rsid w:val="00D07B46"/>
    <w:rsid w:val="00D10FC5"/>
    <w:rsid w:val="00D122AD"/>
    <w:rsid w:val="00D163A7"/>
    <w:rsid w:val="00D243ED"/>
    <w:rsid w:val="00D262B2"/>
    <w:rsid w:val="00D30611"/>
    <w:rsid w:val="00D34325"/>
    <w:rsid w:val="00D35B96"/>
    <w:rsid w:val="00D373BE"/>
    <w:rsid w:val="00D41496"/>
    <w:rsid w:val="00D453A7"/>
    <w:rsid w:val="00D46E9F"/>
    <w:rsid w:val="00D475F6"/>
    <w:rsid w:val="00D61CA5"/>
    <w:rsid w:val="00D71650"/>
    <w:rsid w:val="00D806B6"/>
    <w:rsid w:val="00D871B7"/>
    <w:rsid w:val="00D97EC8"/>
    <w:rsid w:val="00DA7767"/>
    <w:rsid w:val="00DB751C"/>
    <w:rsid w:val="00DC2572"/>
    <w:rsid w:val="00DC299F"/>
    <w:rsid w:val="00DC300F"/>
    <w:rsid w:val="00DD0739"/>
    <w:rsid w:val="00DE1779"/>
    <w:rsid w:val="00DE315B"/>
    <w:rsid w:val="00DF5D9E"/>
    <w:rsid w:val="00E05B80"/>
    <w:rsid w:val="00E11FC4"/>
    <w:rsid w:val="00E12970"/>
    <w:rsid w:val="00E31453"/>
    <w:rsid w:val="00E329ED"/>
    <w:rsid w:val="00E3687D"/>
    <w:rsid w:val="00E4246C"/>
    <w:rsid w:val="00E4257D"/>
    <w:rsid w:val="00E42DEC"/>
    <w:rsid w:val="00E512EF"/>
    <w:rsid w:val="00E54F48"/>
    <w:rsid w:val="00E606A8"/>
    <w:rsid w:val="00E61BCB"/>
    <w:rsid w:val="00E82EED"/>
    <w:rsid w:val="00E8404C"/>
    <w:rsid w:val="00E84757"/>
    <w:rsid w:val="00E86B0C"/>
    <w:rsid w:val="00E90931"/>
    <w:rsid w:val="00EA43C0"/>
    <w:rsid w:val="00EA7CBC"/>
    <w:rsid w:val="00EB11D1"/>
    <w:rsid w:val="00EB6100"/>
    <w:rsid w:val="00EC1C70"/>
    <w:rsid w:val="00EC7483"/>
    <w:rsid w:val="00ED11EB"/>
    <w:rsid w:val="00ED2F7B"/>
    <w:rsid w:val="00ED3EDE"/>
    <w:rsid w:val="00ED7CFE"/>
    <w:rsid w:val="00EE2832"/>
    <w:rsid w:val="00EE6380"/>
    <w:rsid w:val="00EF030A"/>
    <w:rsid w:val="00EF5E9B"/>
    <w:rsid w:val="00F0642C"/>
    <w:rsid w:val="00F13FA5"/>
    <w:rsid w:val="00F2362D"/>
    <w:rsid w:val="00F241AF"/>
    <w:rsid w:val="00F30AD8"/>
    <w:rsid w:val="00F33DA4"/>
    <w:rsid w:val="00F35E40"/>
    <w:rsid w:val="00F3660C"/>
    <w:rsid w:val="00F70B1D"/>
    <w:rsid w:val="00F72F85"/>
    <w:rsid w:val="00F75375"/>
    <w:rsid w:val="00F7712F"/>
    <w:rsid w:val="00F84968"/>
    <w:rsid w:val="00F855A2"/>
    <w:rsid w:val="00F87784"/>
    <w:rsid w:val="00F9721D"/>
    <w:rsid w:val="00FA2997"/>
    <w:rsid w:val="00FA2C11"/>
    <w:rsid w:val="00FB1455"/>
    <w:rsid w:val="00FB3A1B"/>
    <w:rsid w:val="00FC243B"/>
    <w:rsid w:val="00FD31D0"/>
    <w:rsid w:val="00FD38C6"/>
    <w:rsid w:val="00FE21CD"/>
    <w:rsid w:val="00FE2EA5"/>
    <w:rsid w:val="00FE61D8"/>
    <w:rsid w:val="00FF5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19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199"/>
    <w:rPr>
      <w:color w:val="0000FF" w:themeColor="hyperlink"/>
      <w:u w:val="single"/>
    </w:rPr>
  </w:style>
  <w:style w:type="table" w:styleId="TableGrid">
    <w:name w:val="Table Grid"/>
    <w:basedOn w:val="TableNormal"/>
    <w:uiPriority w:val="59"/>
    <w:rsid w:val="00083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2ED5"/>
    <w:pPr>
      <w:tabs>
        <w:tab w:val="center" w:pos="4680"/>
        <w:tab w:val="right" w:pos="9360"/>
      </w:tabs>
    </w:pPr>
  </w:style>
  <w:style w:type="character" w:customStyle="1" w:styleId="HeaderChar">
    <w:name w:val="Header Char"/>
    <w:basedOn w:val="DefaultParagraphFont"/>
    <w:link w:val="Header"/>
    <w:uiPriority w:val="99"/>
    <w:rsid w:val="008A2ED5"/>
    <w:rPr>
      <w:sz w:val="24"/>
      <w:szCs w:val="24"/>
    </w:rPr>
  </w:style>
  <w:style w:type="paragraph" w:styleId="Footer">
    <w:name w:val="footer"/>
    <w:basedOn w:val="Normal"/>
    <w:link w:val="FooterChar"/>
    <w:uiPriority w:val="99"/>
    <w:unhideWhenUsed/>
    <w:rsid w:val="008A2ED5"/>
    <w:pPr>
      <w:tabs>
        <w:tab w:val="center" w:pos="4680"/>
        <w:tab w:val="right" w:pos="9360"/>
      </w:tabs>
    </w:pPr>
  </w:style>
  <w:style w:type="character" w:customStyle="1" w:styleId="FooterChar">
    <w:name w:val="Footer Char"/>
    <w:basedOn w:val="DefaultParagraphFont"/>
    <w:link w:val="Footer"/>
    <w:uiPriority w:val="99"/>
    <w:rsid w:val="008A2ED5"/>
    <w:rPr>
      <w:sz w:val="24"/>
      <w:szCs w:val="24"/>
    </w:rPr>
  </w:style>
  <w:style w:type="paragraph" w:styleId="BalloonText">
    <w:name w:val="Balloon Text"/>
    <w:basedOn w:val="Normal"/>
    <w:link w:val="BalloonTextChar"/>
    <w:uiPriority w:val="99"/>
    <w:semiHidden/>
    <w:unhideWhenUsed/>
    <w:rsid w:val="008A2ED5"/>
    <w:rPr>
      <w:rFonts w:ascii="Tahoma" w:hAnsi="Tahoma" w:cs="Tahoma"/>
      <w:sz w:val="16"/>
      <w:szCs w:val="16"/>
    </w:rPr>
  </w:style>
  <w:style w:type="character" w:customStyle="1" w:styleId="BalloonTextChar">
    <w:name w:val="Balloon Text Char"/>
    <w:basedOn w:val="DefaultParagraphFont"/>
    <w:link w:val="BalloonText"/>
    <w:uiPriority w:val="99"/>
    <w:semiHidden/>
    <w:rsid w:val="008A2ED5"/>
    <w:rPr>
      <w:rFonts w:ascii="Tahoma" w:hAnsi="Tahoma" w:cs="Tahoma"/>
      <w:sz w:val="16"/>
      <w:szCs w:val="16"/>
    </w:rPr>
  </w:style>
  <w:style w:type="paragraph" w:styleId="NormalWeb">
    <w:name w:val="Normal (Web)"/>
    <w:basedOn w:val="Normal"/>
    <w:uiPriority w:val="99"/>
    <w:semiHidden/>
    <w:unhideWhenUsed/>
    <w:rsid w:val="008A2ED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D10FC5"/>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D10FC5"/>
  </w:style>
  <w:style w:type="character" w:customStyle="1" w:styleId="UnresolvedMention">
    <w:name w:val="Unresolved Mention"/>
    <w:basedOn w:val="DefaultParagraphFont"/>
    <w:uiPriority w:val="99"/>
    <w:semiHidden/>
    <w:unhideWhenUsed/>
    <w:rsid w:val="00014206"/>
    <w:rPr>
      <w:color w:val="605E5C"/>
      <w:shd w:val="clear" w:color="auto" w:fill="E1DFDD"/>
    </w:rPr>
  </w:style>
  <w:style w:type="character" w:styleId="Strong">
    <w:name w:val="Strong"/>
    <w:basedOn w:val="DefaultParagraphFont"/>
    <w:uiPriority w:val="22"/>
    <w:qFormat/>
    <w:rsid w:val="008072F0"/>
    <w:rPr>
      <w:b/>
      <w:bCs/>
    </w:rPr>
  </w:style>
  <w:style w:type="character" w:customStyle="1" w:styleId="nlmday">
    <w:name w:val="nlm_day"/>
    <w:basedOn w:val="DefaultParagraphFont"/>
    <w:rsid w:val="00E54F48"/>
  </w:style>
  <w:style w:type="character" w:customStyle="1" w:styleId="nlmmonth">
    <w:name w:val="nlm_month"/>
    <w:basedOn w:val="DefaultParagraphFont"/>
    <w:rsid w:val="00E54F48"/>
  </w:style>
  <w:style w:type="character" w:customStyle="1" w:styleId="nlmyear">
    <w:name w:val="nlm_year"/>
    <w:basedOn w:val="DefaultParagraphFont"/>
    <w:rsid w:val="00E54F48"/>
  </w:style>
</w:styles>
</file>

<file path=word/webSettings.xml><?xml version="1.0" encoding="utf-8"?>
<w:webSettings xmlns:r="http://schemas.openxmlformats.org/officeDocument/2006/relationships" xmlns:w="http://schemas.openxmlformats.org/wordprocessingml/2006/main">
  <w:divs>
    <w:div w:id="1016661071">
      <w:bodyDiv w:val="1"/>
      <w:marLeft w:val="0"/>
      <w:marRight w:val="0"/>
      <w:marTop w:val="0"/>
      <w:marBottom w:val="0"/>
      <w:divBdr>
        <w:top w:val="none" w:sz="0" w:space="0" w:color="auto"/>
        <w:left w:val="none" w:sz="0" w:space="0" w:color="auto"/>
        <w:bottom w:val="none" w:sz="0" w:space="0" w:color="auto"/>
        <w:right w:val="none" w:sz="0" w:space="0" w:color="auto"/>
      </w:divBdr>
    </w:div>
    <w:div w:id="1702167005">
      <w:bodyDiv w:val="1"/>
      <w:marLeft w:val="0"/>
      <w:marRight w:val="0"/>
      <w:marTop w:val="0"/>
      <w:marBottom w:val="0"/>
      <w:divBdr>
        <w:top w:val="none" w:sz="0" w:space="0" w:color="auto"/>
        <w:left w:val="none" w:sz="0" w:space="0" w:color="auto"/>
        <w:bottom w:val="none" w:sz="0" w:space="0" w:color="auto"/>
        <w:right w:val="none" w:sz="0" w:space="0" w:color="auto"/>
      </w:divBdr>
    </w:div>
    <w:div w:id="19374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c.gov/crsinfo/abou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s2.american.edu/blecker/www/research/Blecker-stagnation-rev-Mar2016.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1A60EEB3CAE949B00F1B36DCD0C1C3" ma:contentTypeVersion="10" ma:contentTypeDescription="Create a new document." ma:contentTypeScope="" ma:versionID="2698bca0bf9b9d031d35ec1524a3a5b6">
  <xsd:schema xmlns:xsd="http://www.w3.org/2001/XMLSchema" xmlns:xs="http://www.w3.org/2001/XMLSchema" xmlns:p="http://schemas.microsoft.com/office/2006/metadata/properties" xmlns:ns2="c54943ef-f6d6-4c4c-bcf8-5b66c8d819d3" xmlns:ns3="5dd789f7-64bc-4901-ba71-378b205b072a" targetNamespace="http://schemas.microsoft.com/office/2006/metadata/properties" ma:root="true" ma:fieldsID="1ac5ca21e6433a48362a1e9aed760897" ns2:_="" ns3:_="">
    <xsd:import namespace="c54943ef-f6d6-4c4c-bcf8-5b66c8d819d3"/>
    <xsd:import namespace="5dd789f7-64bc-4901-ba71-378b205b072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943ef-f6d6-4c4c-bcf8-5b66c8d819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d789f7-64bc-4901-ba71-378b205b07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75F8E-861A-4A26-80CA-9E4F2C6FE148}">
  <ds:schemaRefs>
    <ds:schemaRef ds:uri="http://schemas.openxmlformats.org/officeDocument/2006/bibliography"/>
  </ds:schemaRefs>
</ds:datastoreItem>
</file>

<file path=customXml/itemProps2.xml><?xml version="1.0" encoding="utf-8"?>
<ds:datastoreItem xmlns:ds="http://schemas.openxmlformats.org/officeDocument/2006/customXml" ds:itemID="{3EF573A1-2CB5-4B50-B446-D76749841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943ef-f6d6-4c4c-bcf8-5b66c8d819d3"/>
    <ds:schemaRef ds:uri="5dd789f7-64bc-4901-ba71-378b205b0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64CD7-CAF2-4088-8C1D-E47EEE8340A4}">
  <ds:schemaRefs>
    <ds:schemaRef ds:uri="http://schemas.microsoft.com/sharepoint/v3/contenttype/forms"/>
  </ds:schemaRefs>
</ds:datastoreItem>
</file>

<file path=customXml/itemProps4.xml><?xml version="1.0" encoding="utf-8"?>
<ds:datastoreItem xmlns:ds="http://schemas.openxmlformats.org/officeDocument/2006/customXml" ds:itemID="{1AE75068-4974-453E-BEA2-1F73F38AC7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2021-03-11T08:51:00Z</dcterms:created>
  <dcterms:modified xsi:type="dcterms:W3CDTF">2021-03-12T00:31:00Z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0x010100041A60EEB3CAE949B00F1B36DCD0C1C3</vt:lpwstr>
  </property>
</Properties>
</file>